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qs-20260603.htm"/>
      <w:bookmarkStart w:id="1" w:name="ksqs20260603"/>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86" w:type="dxa"/>
        <w:jc w:val="left"/>
        <w:tblInd w:w="0" w:type="dxa"/>
        <w:tblLayout w:type="fixed"/>
        <w:tblCellMar>
          <w:top w:w="28" w:type="dxa"/>
          <w:left w:w="28" w:type="dxa"/>
          <w:bottom w:w="28" w:type="dxa"/>
          <w:right w:w="28" w:type="dxa"/>
        </w:tblCellMar>
      </w:tblPr>
      <w:tblGrid>
        <w:gridCol w:w="5386"/>
      </w:tblGrid>
      <w:tr>
        <w:trPr/>
        <w:tc>
          <w:tcPr>
            <w:tcW w:w="5386" w:type="dxa"/>
            <w:tcBorders/>
            <w:vAlign w:val="center"/>
          </w:tcPr>
          <w:p>
            <w:pPr>
              <w:pStyle w:val="TableContents"/>
              <w:bidi w:val="0"/>
              <w:spacing w:before="0" w:after="283"/>
              <w:jc w:val="left"/>
              <w:rPr>
                <w:sz w:val="4"/>
                <w:szCs w:val="4"/>
              </w:rPr>
            </w:pPr>
            <w:r>
              <w:rPr>
                <w:sz w:val="4"/>
                <w:szCs w:val="4"/>
              </w:rPr>
            </w:r>
          </w:p>
        </w:tc>
      </w:tr>
      <w:tr>
        <w:trPr/>
        <w:tc>
          <w:tcPr>
            <w:tcW w:w="5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June 03,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QuantumScape Corporation</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001-39345</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85-0796578</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1730 Technology Drive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Jose,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95110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408</w:t>
            </w:r>
            <w:r>
              <w:rPr>
                <w:rFonts w:ascii="Times New Roman" w:hAnsi="Times New Roman"/>
                <w:color w:val="000000"/>
                <w:sz w:val="20"/>
              </w:rPr>
              <w:t xml:space="preserve"> </w:t>
            </w:r>
            <w:r>
              <w:rPr>
                <w:rFonts w:ascii="Times New Roman" w:hAnsi="Times New Roman"/>
                <w:b/>
                <w:color w:val="000000"/>
                <w:sz w:val="20"/>
              </w:rPr>
              <w:t>452-2000</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430" w:type="dxa"/>
        <w:jc w:val="left"/>
        <w:tblInd w:w="0" w:type="dxa"/>
        <w:tblLayout w:type="fixed"/>
        <w:tblCellMar>
          <w:top w:w="28" w:type="dxa"/>
          <w:left w:w="28" w:type="dxa"/>
          <w:bottom w:w="28" w:type="dxa"/>
          <w:right w:w="28" w:type="dxa"/>
        </w:tblCellMar>
      </w:tblPr>
      <w:tblGrid>
        <w:gridCol w:w="4366"/>
        <w:gridCol w:w="146"/>
        <w:gridCol w:w="946"/>
        <w:gridCol w:w="146"/>
        <w:gridCol w:w="3826"/>
      </w:tblGrid>
      <w:tr>
        <w:trPr/>
        <w:tc>
          <w:tcPr>
            <w:tcW w:w="4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36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43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 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QS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pPr>
      <w:r>
        <w:rPr/>
        <w:t> </w:t>
      </w:r>
    </w:p>
    <w:p>
      <w:pPr>
        <w:pStyle w:val="Heading2"/>
        <w:bidi w:val="0"/>
        <w:spacing w:before="240" w:after="120"/>
        <w:jc w:val="left"/>
        <w:rPr>
          <w:rFonts w:ascii="Times New Roman" w:hAnsi="Times New Roman"/>
          <w:color w:val="000000"/>
          <w:sz w:val="20"/>
        </w:rPr>
      </w:pPr>
      <w:r>
        <w:rPr>
          <w:rFonts w:ascii="Times New Roman" w:hAnsi="Times New Roman"/>
          <w:color w:val="000000"/>
          <w:sz w:val="20"/>
        </w:rPr>
        <w:t>Item 5.07 Submission of Matters to a Vote of Security Holders.</w:t>
      </w:r>
    </w:p>
    <w:p>
      <w:pPr>
        <w:pStyle w:val="TextBody"/>
        <w:bidi w:val="0"/>
        <w:jc w:val="left"/>
        <w:rPr>
          <w:rFonts w:ascii="Times New Roman" w:hAnsi="Times New Roman"/>
          <w:color w:val="000000"/>
          <w:sz w:val="20"/>
        </w:rPr>
      </w:pPr>
      <w:r>
        <w:rPr>
          <w:rFonts w:ascii="Times New Roman" w:hAnsi="Times New Roman"/>
          <w:color w:val="000000"/>
          <w:sz w:val="20"/>
        </w:rPr>
        <w:t xml:space="preserve">The 2026 Annual Meeting of Stockholders (the “Annual Meeting”) of QuantumScape Corporation (the “Company”) was held on June 3, 2026. Present at the Annual Meeting in person or by proxy were holders of 358,839,991 shares of the Company’s Class A common stock and 36,800,264 shares of the Company’s Class B common stock, collectively representing 726,842,631 votes and 76.8% of the voting power of the shares of the Company’s common stock as of April 9, 2026, the record date for the Annual Meeting, and constituting a quorum for the transaction of business. The matters that were voted upon at the Annual Meeting, and the number of votes cast for, against or withheld, as well as the number of abstentions and broker non-votes as to each such matter, where applicable, are set forth below. </w:t>
      </w:r>
    </w:p>
    <w:p>
      <w:pPr>
        <w:pStyle w:val="TextBody"/>
        <w:bidi w:val="0"/>
        <w:jc w:val="left"/>
        <w:rPr>
          <w:rFonts w:ascii="Times New Roman" w:hAnsi="Times New Roman"/>
          <w:color w:val="000000"/>
          <w:sz w:val="20"/>
        </w:rPr>
      </w:pPr>
      <w:r>
        <w:rPr>
          <w:rFonts w:ascii="Times New Roman" w:hAnsi="Times New Roman"/>
          <w:color w:val="000000"/>
          <w:sz w:val="20"/>
        </w:rPr>
        <w:t>Each share of Class A common stock was entitled to one vote on each proposal and each share of Class B common stock was entitled to ten votes on each proposal. The Class A common stock and Class B common stock voted as a single class on all matters.</w:t>
      </w:r>
    </w:p>
    <w:p>
      <w:pPr>
        <w:pStyle w:val="TextBody"/>
        <w:bidi w:val="0"/>
        <w:jc w:val="left"/>
        <w:rPr>
          <w:rFonts w:ascii="Times New Roman" w:hAnsi="Times New Roman"/>
          <w:color w:val="000000"/>
          <w:sz w:val="20"/>
        </w:rPr>
      </w:pPr>
      <w:r>
        <w:rPr>
          <w:rFonts w:ascii="Times New Roman" w:hAnsi="Times New Roman"/>
          <w:color w:val="000000"/>
          <w:sz w:val="20"/>
        </w:rPr>
        <w:t>At the Annual Meeting, the Company’s stockholders: (1) elected the Company’s nominees for directors; (2) ratified the appointment of Ernst &amp; Young LLP as the Company’s independent registered public accounting firm for the fiscal year ending December 31, 2026; and (3) approved, on a non-binding advisory basis, the compensation of the Company’s named executive officers.</w:t>
      </w:r>
    </w:p>
    <w:p>
      <w:pPr>
        <w:pStyle w:val="TextBody"/>
        <w:bidi w:val="0"/>
        <w:jc w:val="left"/>
        <w:rPr>
          <w:rFonts w:ascii="Times New Roman" w:hAnsi="Times New Roman"/>
          <w:sz w:val="20"/>
        </w:rPr>
      </w:pPr>
      <w:r>
        <w:rPr>
          <w:rFonts w:ascii="Times New Roman" w:hAnsi="Times New Roman"/>
          <w:b/>
          <w:color w:val="000000"/>
          <w:sz w:val="20"/>
        </w:rPr>
        <w:t xml:space="preserve">Proposal 1 </w:t>
      </w:r>
      <w:r>
        <w:rPr>
          <w:rFonts w:ascii="Times New Roman" w:hAnsi="Times New Roman"/>
          <w:color w:val="000000"/>
          <w:sz w:val="20"/>
        </w:rPr>
        <w:t xml:space="preserve">– Election of ten directors to serve until the 2027 Annual Meeting of Stockholders: </w:t>
      </w:r>
    </w:p>
    <w:tbl>
      <w:tblPr>
        <w:tblW w:w="6934" w:type="dxa"/>
        <w:jc w:val="left"/>
        <w:tblInd w:w="0" w:type="dxa"/>
        <w:tblLayout w:type="fixed"/>
        <w:tblCellMar>
          <w:top w:w="28" w:type="dxa"/>
          <w:left w:w="28" w:type="dxa"/>
          <w:bottom w:w="28" w:type="dxa"/>
          <w:right w:w="28" w:type="dxa"/>
        </w:tblCellMar>
      </w:tblPr>
      <w:tblGrid>
        <w:gridCol w:w="1696"/>
        <w:gridCol w:w="146"/>
        <w:gridCol w:w="1141"/>
        <w:gridCol w:w="146"/>
        <w:gridCol w:w="146"/>
        <w:gridCol w:w="146"/>
        <w:gridCol w:w="1223"/>
        <w:gridCol w:w="172"/>
        <w:gridCol w:w="146"/>
        <w:gridCol w:w="146"/>
        <w:gridCol w:w="1450"/>
        <w:gridCol w:w="185"/>
        <w:gridCol w:w="19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Votes For</w:t>
            </w:r>
          </w:p>
        </w:tc>
        <w:tc>
          <w:tcPr>
            <w:tcW w:w="146" w:type="dxa"/>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Votes Withheld</w:t>
            </w:r>
          </w:p>
        </w:tc>
        <w:tc>
          <w:tcPr>
            <w:tcW w:w="146" w:type="dxa"/>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Broker Non-Votes</w:t>
            </w:r>
          </w:p>
        </w:tc>
        <w:tc>
          <w:tcPr>
            <w:tcW w:w="191" w:type="dxa"/>
            <w:tcBorders>
              <w:bottom w:val="single" w:sz="8"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Brad Buss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565,041,367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4,900,058</w:t>
            </w:r>
          </w:p>
        </w:tc>
        <w:tc>
          <w:tcPr>
            <w:tcW w:w="1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156,901,206</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Jeneanne Hanley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564,833,840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5,107,585</w:t>
            </w:r>
          </w:p>
        </w:tc>
        <w:tc>
          <w:tcPr>
            <w:tcW w:w="1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156,901,206</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Dr. Gena C. Lovett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532,333,045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37,608,380</w:t>
            </w:r>
          </w:p>
        </w:tc>
        <w:tc>
          <w:tcPr>
            <w:tcW w:w="1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156,901,206</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 Günther Mendl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567,762,930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2,178,495</w:t>
            </w:r>
          </w:p>
        </w:tc>
        <w:tc>
          <w:tcPr>
            <w:tcW w:w="1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156,901,206</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 Ross Niebergall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568,235,104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1,706,321</w:t>
            </w:r>
          </w:p>
        </w:tc>
        <w:tc>
          <w:tcPr>
            <w:tcW w:w="1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156,901,206</w:t>
            </w:r>
          </w:p>
        </w:tc>
        <w:tc>
          <w:tcPr>
            <w:tcW w:w="185"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Geoffrey Ribar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568,176,229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1,765,196</w:t>
            </w:r>
          </w:p>
        </w:tc>
        <w:tc>
          <w:tcPr>
            <w:tcW w:w="1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156,901,206</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Dipender Saluja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538,303,962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31,637,463</w:t>
            </w:r>
          </w:p>
        </w:tc>
        <w:tc>
          <w:tcPr>
            <w:tcW w:w="1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156,901,206</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Sebastian Schebera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541,114,753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28,826,672</w:t>
            </w:r>
          </w:p>
        </w:tc>
        <w:tc>
          <w:tcPr>
            <w:tcW w:w="1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156,901,206</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Dennis Segers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567,360,975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2,580,450</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156,901,206</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 Siva Sivaram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567,736,740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2,204,685</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156,901,206</w:t>
            </w:r>
          </w:p>
        </w:tc>
        <w:tc>
          <w:tcPr>
            <w:tcW w:w="1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rFonts w:ascii="Times New Roman" w:hAnsi="Times New Roman"/>
          <w:sz w:val="20"/>
        </w:rPr>
      </w:pPr>
      <w:r>
        <w:rPr>
          <w:rFonts w:ascii="Times New Roman" w:hAnsi="Times New Roman"/>
          <w:b/>
          <w:color w:val="000000"/>
          <w:sz w:val="20"/>
        </w:rPr>
        <w:t>Proposal 2</w:t>
      </w:r>
      <w:r>
        <w:rPr>
          <w:rFonts w:ascii="Times New Roman" w:hAnsi="Times New Roman"/>
          <w:color w:val="000000"/>
          <w:sz w:val="20"/>
        </w:rPr>
        <w:t xml:space="preserve"> – Ratification of the appointment of Ernst &amp; Young LLP as the Company’s independent registered public accounting firm for the fiscal year ending December 31, 2026: </w:t>
      </w:r>
    </w:p>
    <w:tbl>
      <w:tblPr>
        <w:tblW w:w="3892" w:type="dxa"/>
        <w:jc w:val="left"/>
        <w:tblInd w:w="0" w:type="dxa"/>
        <w:tblLayout w:type="fixed"/>
        <w:tblCellMar>
          <w:top w:w="28" w:type="dxa"/>
          <w:left w:w="28" w:type="dxa"/>
          <w:bottom w:w="28" w:type="dxa"/>
          <w:right w:w="28" w:type="dxa"/>
        </w:tblCellMar>
      </w:tblPr>
      <w:tblGrid>
        <w:gridCol w:w="1156"/>
        <w:gridCol w:w="109"/>
        <w:gridCol w:w="1246"/>
        <w:gridCol w:w="146"/>
        <w:gridCol w:w="1081"/>
        <w:gridCol w:w="154"/>
      </w:tblGrid>
      <w:tr>
        <w:trPr/>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color w:val="000000"/>
                <w:sz w:val="20"/>
              </w:rPr>
            </w:pPr>
            <w:r>
              <w:rPr>
                <w:rFonts w:ascii="Times New Roman" w:hAnsi="Times New Roman"/>
                <w:color w:val="000000"/>
                <w:sz w:val="20"/>
              </w:rPr>
              <w:t>Votes For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color w:val="000000"/>
                <w:sz w:val="20"/>
              </w:rPr>
            </w:pPr>
            <w:r>
              <w:rPr>
                <w:rFonts w:ascii="Times New Roman" w:hAnsi="Times New Roman"/>
                <w:color w:val="000000"/>
                <w:sz w:val="20"/>
              </w:rPr>
              <w:t>Votes Against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color w:val="000000"/>
                <w:sz w:val="20"/>
              </w:rPr>
            </w:pPr>
            <w:r>
              <w:rPr>
                <w:rFonts w:ascii="Times New Roman" w:hAnsi="Times New Roman"/>
                <w:color w:val="000000"/>
                <w:sz w:val="20"/>
              </w:rPr>
              <w:t>Abstentions</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720,667,490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4,190,393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1,984,748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rFonts w:ascii="Times New Roman" w:hAnsi="Times New Roman"/>
          <w:sz w:val="20"/>
        </w:rPr>
      </w:pPr>
      <w:r>
        <w:rPr>
          <w:rFonts w:ascii="Times New Roman" w:hAnsi="Times New Roman"/>
          <w:b/>
          <w:color w:val="000000"/>
          <w:sz w:val="20"/>
        </w:rPr>
        <w:t>Proposal 3</w:t>
      </w:r>
      <w:r>
        <w:rPr>
          <w:rFonts w:ascii="Times New Roman" w:hAnsi="Times New Roman"/>
          <w:color w:val="000000"/>
          <w:sz w:val="20"/>
        </w:rPr>
        <w:t xml:space="preserve"> – Approval, on a non-binding advisory basis, of the compensation of the Company’s named executive officers: </w:t>
      </w:r>
    </w:p>
    <w:tbl>
      <w:tblPr>
        <w:tblW w:w="5542" w:type="dxa"/>
        <w:jc w:val="left"/>
        <w:tblInd w:w="0" w:type="dxa"/>
        <w:tblLayout w:type="fixed"/>
        <w:tblCellMar>
          <w:top w:w="28" w:type="dxa"/>
          <w:left w:w="28" w:type="dxa"/>
          <w:bottom w:w="28" w:type="dxa"/>
          <w:right w:w="28" w:type="dxa"/>
        </w:tblCellMar>
      </w:tblPr>
      <w:tblGrid>
        <w:gridCol w:w="1156"/>
        <w:gridCol w:w="146"/>
        <w:gridCol w:w="1246"/>
        <w:gridCol w:w="146"/>
        <w:gridCol w:w="1081"/>
        <w:gridCol w:w="146"/>
        <w:gridCol w:w="1621"/>
      </w:tblGrid>
      <w:tr>
        <w:trPr/>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r>
      <w:tr>
        <w:trPr/>
        <w:tc>
          <w:tcPr>
            <w:tcW w:w="1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color w:val="000000"/>
                <w:sz w:val="20"/>
              </w:rPr>
            </w:pPr>
            <w:r>
              <w:rPr>
                <w:rFonts w:ascii="Times New Roman" w:hAnsi="Times New Roman"/>
                <w:color w:val="000000"/>
                <w:sz w:val="20"/>
              </w:rPr>
              <w:t>Votes For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color w:val="000000"/>
                <w:sz w:val="20"/>
              </w:rPr>
            </w:pPr>
            <w:r>
              <w:rPr>
                <w:rFonts w:ascii="Times New Roman" w:hAnsi="Times New Roman"/>
                <w:color w:val="000000"/>
                <w:sz w:val="20"/>
              </w:rPr>
              <w:t>Votes Against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color w:val="000000"/>
                <w:sz w:val="20"/>
              </w:rPr>
            </w:pPr>
            <w:r>
              <w:rPr>
                <w:rFonts w:ascii="Times New Roman" w:hAnsi="Times New Roman"/>
                <w:color w:val="000000"/>
                <w:sz w:val="20"/>
              </w:rPr>
              <w:t>Abstentions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color w:val="000000"/>
                <w:sz w:val="20"/>
              </w:rPr>
            </w:pPr>
            <w:r>
              <w:rPr>
                <w:rFonts w:ascii="Times New Roman" w:hAnsi="Times New Roman"/>
                <w:color w:val="000000"/>
                <w:sz w:val="20"/>
              </w:rPr>
              <w:t>Broker Non-Votes</w:t>
            </w:r>
          </w:p>
        </w:tc>
      </w:tr>
      <w:tr>
        <w:trPr/>
        <w:tc>
          <w:tcPr>
            <w:tcW w:w="11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559,002,144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8,698,731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2,240,550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156,901,206</w:t>
            </w:r>
          </w:p>
        </w:tc>
      </w:tr>
    </w:tbl>
    <w:p>
      <w:pPr>
        <w:pStyle w:val="TextBody"/>
        <w:bidi w:val="0"/>
        <w:jc w:val="left"/>
        <w:rPr/>
      </w:pPr>
      <w:r>
        <w:rPr/>
        <w:t> </w:t>
      </w:r>
    </w:p>
    <w:p>
      <w:pPr>
        <w:pStyle w:val="Heading2"/>
        <w:bidi w:val="0"/>
        <w:spacing w:before="360" w:after="12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7369" w:type="dxa"/>
        <w:jc w:val="left"/>
        <w:tblInd w:w="0" w:type="dxa"/>
        <w:tblLayout w:type="fixed"/>
        <w:tblCellMar>
          <w:top w:w="28" w:type="dxa"/>
          <w:left w:w="28" w:type="dxa"/>
          <w:bottom w:w="28" w:type="dxa"/>
          <w:right w:w="28" w:type="dxa"/>
        </w:tblCellMar>
      </w:tblPr>
      <w:tblGrid>
        <w:gridCol w:w="556"/>
        <w:gridCol w:w="1141"/>
        <w:gridCol w:w="451"/>
        <w:gridCol w:w="5221"/>
      </w:tblGrid>
      <w:tr>
        <w:trPr/>
        <w:tc>
          <w:tcPr>
            <w:tcW w:w="55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522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522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QuantumScape Corporation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52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14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June 5,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522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Michael McCarthy</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522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Name: Michael McCarthy</w:t>
              <w:br/>
              <w:t>Title: Chief Legal Officer and Head of Corporate Development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741</Words>
  <Characters>4164</Characters>
  <CharactersWithSpaces>4888</CharactersWithSpaces>
  <Paragraphs>188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