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Saluja Dipender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19"/>
        <w:gridCol w:w="788"/>
        <w:gridCol w:w="610"/>
        <w:gridCol w:w="344"/>
        <w:gridCol w:w="918"/>
        <w:gridCol w:w="431"/>
        <w:gridCol w:w="657"/>
        <w:gridCol w:w="1263"/>
        <w:gridCol w:w="977"/>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24,183</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396,418</w:t>
            </w:r>
            <w:r>
              <w:rPr>
                <w:rFonts w:ascii="Times;serif" w:hAnsi="Times;serif"/>
                <w:color w:val="008000"/>
                <w:position w:val="7"/>
                <w:sz w:val="16"/>
                <w:sz w:val="20"/>
                <w:shd w:fill="FFFFFF" w:val="clear"/>
              </w:rPr>
              <w:t>(2)</w:t>
            </w:r>
            <w:r>
              <w:rPr/>
              <w:t xml:space="preserve"> </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9,892,934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Capricorn-Libra Investment Group, LP</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3, 2026, the Issuer granted restricted stock units ("RSUs") to the Reporting Person as an annual award automatically granted under the Issuer's Outside Director Compensation Policy. Each RSU represents the Reporting Person's right to receive one share of Class A Common Stock of the Issuer. 100% of the RSUs shall vest on the earlier of the one-year anniversary of the annual meeting of stockholders held on June 3, 2026, or the day before the next annual meeting of stockholders, subject to the Reporting Person's continued service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24,183 shares represented by RSUs. Each RSU represents the Reporting Person's right to receive one share of Class A Common Stock of the Issuer per the applicable vesting schedule, subject to the Reporting Person's continued service as of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Capricorn-Libra Investment Group, LP, of which the Reporting Person is the managing director. The Reporting Person disclaims beneficial ownership of the reported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68"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4055</Characters>
  <CharactersWithSpaces>4739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