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Sivaram Srinivasan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81,752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5.7445</w:t>
            </w:r>
            <w:r>
              <w:rPr>
                <w:rFonts w:ascii="Times;serif" w:hAnsi="Times;serif"/>
                <w:color w:val="008000"/>
                <w:position w:val="7"/>
                <w:sz w:val="16"/>
                <w:sz w:val="20"/>
                <w:shd w:fill="FFFFFF" w:val="clear"/>
              </w:rPr>
              <w:t>(2)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5,078,264</w:t>
            </w:r>
            <w:r>
              <w:rPr>
                <w:rFonts w:ascii="Times;serif" w:hAnsi="Times;serif"/>
                <w:color w:val="008000"/>
                <w:position w:val="7"/>
                <w:sz w:val="16"/>
                <w:sz w:val="20"/>
                <w:shd w:fill="FFFFFF" w:val="clear"/>
              </w:rPr>
              <w:t>(3)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sale to cover tax obligations on the release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$5.66 to $5.93,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4,308,397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Co-Trustee of the trusts and his family members are beneficiaries of the trusts.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7067"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4051</Characters>
  <CharactersWithSpaces>4723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